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XSpec="center" w:tblpY="550"/>
        <w:tblW w:w="10242" w:type="dxa"/>
        <w:tblBorders>
          <w:top w:val="dotted" w:sz="4" w:space="0" w:color="auto"/>
          <w:bottom w:val="dotted" w:sz="4" w:space="0" w:color="auto"/>
        </w:tblBorders>
        <w:tblLook w:val="04A0" w:firstRow="1" w:lastRow="0" w:firstColumn="1" w:lastColumn="0" w:noHBand="0" w:noVBand="1"/>
      </w:tblPr>
      <w:tblGrid>
        <w:gridCol w:w="2694"/>
        <w:gridCol w:w="231"/>
        <w:gridCol w:w="2887"/>
        <w:gridCol w:w="231"/>
        <w:gridCol w:w="4113"/>
        <w:gridCol w:w="86"/>
      </w:tblGrid>
      <w:tr w:rsidR="00703C51" w14:paraId="55EAB3B6" w14:textId="77777777" w:rsidTr="00703C51">
        <w:trPr>
          <w:trHeight w:val="489"/>
        </w:trPr>
        <w:tc>
          <w:tcPr>
            <w:tcW w:w="2694" w:type="dxa"/>
            <w:vMerge w:val="restart"/>
          </w:tcPr>
          <w:p w14:paraId="73760B7E" w14:textId="1FC7D950" w:rsidR="00703C51" w:rsidRDefault="00703C51" w:rsidP="00703C51">
            <w:pPr>
              <w:jc w:val="both"/>
              <w:rPr>
                <w:rFonts w:ascii="Arial" w:hAnsi="Arial" w:cs="Arial"/>
                <w:b/>
                <w:color w:val="000000"/>
              </w:rPr>
            </w:pPr>
          </w:p>
          <w:p w14:paraId="12A3CB2D" w14:textId="50E89952" w:rsidR="00703C51" w:rsidRDefault="00703C51" w:rsidP="00703C51">
            <w:pPr>
              <w:jc w:val="both"/>
              <w:rPr>
                <w:rFonts w:ascii="Arial" w:hAnsi="Arial" w:cs="Arial"/>
                <w:b/>
                <w:color w:val="000000"/>
              </w:rPr>
            </w:pPr>
            <w:r w:rsidRPr="00676333">
              <w:rPr>
                <w:rFonts w:ascii="Arial" w:hAnsi="Arial" w:cs="Arial"/>
                <w:b/>
                <w:noProof/>
                <w:color w:val="000000"/>
              </w:rPr>
              <w:drawing>
                <wp:anchor distT="0" distB="0" distL="114300" distR="114300" simplePos="0" relativeHeight="251659264" behindDoc="0" locked="0" layoutInCell="1" allowOverlap="1" wp14:anchorId="707BC375" wp14:editId="7DF1ED10">
                  <wp:simplePos x="0" y="0"/>
                  <wp:positionH relativeFrom="column">
                    <wp:posOffset>1270</wp:posOffset>
                  </wp:positionH>
                  <wp:positionV relativeFrom="paragraph">
                    <wp:posOffset>14605</wp:posOffset>
                  </wp:positionV>
                  <wp:extent cx="1993265" cy="307340"/>
                  <wp:effectExtent l="0" t="0" r="6985" b="0"/>
                  <wp:wrapNone/>
                  <wp:docPr id="12" name="Imagem 11">
                    <a:extLst xmlns:a="http://schemas.openxmlformats.org/drawingml/2006/main">
                      <a:ext uri="{FF2B5EF4-FFF2-40B4-BE49-F238E27FC236}">
                        <a16:creationId xmlns:a16="http://schemas.microsoft.com/office/drawing/2014/main" id="{C298FC97-444E-02C8-FF12-ECCB25295C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1">
                            <a:extLst>
                              <a:ext uri="{FF2B5EF4-FFF2-40B4-BE49-F238E27FC236}">
                                <a16:creationId xmlns:a16="http://schemas.microsoft.com/office/drawing/2014/main" id="{C298FC97-444E-02C8-FF12-ECCB25295C3A}"/>
                              </a:ext>
                            </a:extLst>
                          </pic:cNvPr>
                          <pic:cNvPicPr>
                            <a:picLocks noChangeAspect="1"/>
                          </pic:cNvPicPr>
                        </pic:nvPicPr>
                        <pic:blipFill>
                          <a:blip r:embed="rId7">
                            <a:extLst>
                              <a:ext uri="{BEBA8EAE-BF5A-486C-A8C5-ECC9F3942E4B}">
                                <a14:imgProps xmlns:a14="http://schemas.microsoft.com/office/drawing/2010/main">
                                  <a14:imgLayer r:embed="rId8">
                                    <a14:imgEffect>
                                      <a14:artisticGlowEdges/>
                                    </a14:imgEffect>
                                  </a14:imgLayer>
                                </a14:imgProps>
                              </a:ext>
                              <a:ext uri="{28A0092B-C50C-407E-A947-70E740481C1C}">
                                <a14:useLocalDpi xmlns:a14="http://schemas.microsoft.com/office/drawing/2010/main" val="0"/>
                              </a:ext>
                            </a:extLst>
                          </a:blip>
                          <a:stretch>
                            <a:fillRect/>
                          </a:stretch>
                        </pic:blipFill>
                        <pic:spPr>
                          <a:xfrm>
                            <a:off x="0" y="0"/>
                            <a:ext cx="1993265" cy="307340"/>
                          </a:xfrm>
                          <a:prstGeom prst="rect">
                            <a:avLst/>
                          </a:prstGeom>
                        </pic:spPr>
                      </pic:pic>
                    </a:graphicData>
                  </a:graphic>
                  <wp14:sizeRelH relativeFrom="margin">
                    <wp14:pctWidth>0</wp14:pctWidth>
                  </wp14:sizeRelH>
                  <wp14:sizeRelV relativeFrom="margin">
                    <wp14:pctHeight>0</wp14:pctHeight>
                  </wp14:sizeRelV>
                </wp:anchor>
              </w:drawing>
            </w:r>
          </w:p>
        </w:tc>
        <w:tc>
          <w:tcPr>
            <w:tcW w:w="231" w:type="dxa"/>
            <w:vMerge w:val="restart"/>
            <w:tcBorders>
              <w:top w:val="dotted" w:sz="4" w:space="0" w:color="auto"/>
              <w:bottom w:val="nil"/>
            </w:tcBorders>
          </w:tcPr>
          <w:p w14:paraId="30B62E21" w14:textId="77777777" w:rsidR="00703C51" w:rsidRDefault="00703C51" w:rsidP="00703C51">
            <w:pPr>
              <w:jc w:val="both"/>
              <w:rPr>
                <w:rFonts w:ascii="Arial" w:hAnsi="Arial" w:cs="Arial"/>
                <w:b/>
                <w:color w:val="000000"/>
              </w:rPr>
            </w:pPr>
          </w:p>
        </w:tc>
        <w:tc>
          <w:tcPr>
            <w:tcW w:w="2887" w:type="dxa"/>
            <w:vMerge w:val="restart"/>
            <w:vAlign w:val="center"/>
          </w:tcPr>
          <w:p w14:paraId="581464FB" w14:textId="0369C544" w:rsidR="00703C51" w:rsidRDefault="00703C51" w:rsidP="00703C51">
            <w:pPr>
              <w:jc w:val="center"/>
              <w:rPr>
                <w:rFonts w:ascii="Arial" w:hAnsi="Arial" w:cs="Arial"/>
                <w:b/>
                <w:smallCaps/>
                <w:color w:val="000000"/>
              </w:rPr>
            </w:pPr>
            <w:r>
              <w:rPr>
                <w:rFonts w:ascii="Arial" w:hAnsi="Arial" w:cs="Arial"/>
                <w:b/>
                <w:smallCaps/>
                <w:color w:val="000000"/>
              </w:rPr>
              <w:t xml:space="preserve">Escola </w:t>
            </w:r>
            <w:r>
              <w:rPr>
                <w:rFonts w:ascii="Arial" w:hAnsi="Arial" w:cs="Arial"/>
                <w:b/>
                <w:smallCaps/>
                <w:color w:val="000000"/>
              </w:rPr>
              <w:t xml:space="preserve">Secundária </w:t>
            </w:r>
          </w:p>
          <w:p w14:paraId="2172C57B" w14:textId="08D863AC" w:rsidR="00703C51" w:rsidRDefault="00703C51" w:rsidP="00703C51">
            <w:pPr>
              <w:jc w:val="center"/>
              <w:rPr>
                <w:rFonts w:ascii="Arial" w:hAnsi="Arial" w:cs="Arial"/>
                <w:b/>
                <w:smallCaps/>
                <w:color w:val="000000"/>
              </w:rPr>
            </w:pPr>
          </w:p>
        </w:tc>
        <w:tc>
          <w:tcPr>
            <w:tcW w:w="231" w:type="dxa"/>
            <w:tcBorders>
              <w:top w:val="nil"/>
              <w:bottom w:val="nil"/>
            </w:tcBorders>
            <w:vAlign w:val="center"/>
          </w:tcPr>
          <w:p w14:paraId="4B0EC06C" w14:textId="77777777" w:rsidR="00703C51" w:rsidRDefault="00703C51" w:rsidP="00703C51">
            <w:pPr>
              <w:jc w:val="center"/>
              <w:rPr>
                <w:rFonts w:ascii="Arial" w:hAnsi="Arial" w:cs="Arial"/>
                <w:b/>
                <w:smallCaps/>
                <w:color w:val="000000"/>
              </w:rPr>
            </w:pPr>
          </w:p>
        </w:tc>
        <w:tc>
          <w:tcPr>
            <w:tcW w:w="4199" w:type="dxa"/>
            <w:gridSpan w:val="2"/>
            <w:tcBorders>
              <w:top w:val="dotted" w:sz="4" w:space="0" w:color="auto"/>
              <w:bottom w:val="dotted" w:sz="4" w:space="0" w:color="auto"/>
            </w:tcBorders>
            <w:vAlign w:val="center"/>
          </w:tcPr>
          <w:p w14:paraId="0FF8C6AE" w14:textId="4A26CF05" w:rsidR="00703C51" w:rsidRDefault="00703C51" w:rsidP="00703C51">
            <w:pPr>
              <w:jc w:val="center"/>
              <w:rPr>
                <w:rFonts w:ascii="Arial" w:hAnsi="Arial" w:cs="Arial"/>
                <w:b/>
                <w:smallCaps/>
                <w:color w:val="000000"/>
              </w:rPr>
            </w:pPr>
            <w:r>
              <w:rPr>
                <w:rFonts w:ascii="Arial" w:hAnsi="Arial" w:cs="Arial"/>
                <w:b/>
                <w:smallCaps/>
                <w:color w:val="000000"/>
              </w:rPr>
              <w:t>Ano Letivo 202</w:t>
            </w:r>
            <w:r>
              <w:rPr>
                <w:rFonts w:ascii="Arial" w:hAnsi="Arial" w:cs="Arial"/>
                <w:b/>
                <w:smallCaps/>
                <w:color w:val="000000"/>
              </w:rPr>
              <w:t>6</w:t>
            </w:r>
            <w:r>
              <w:rPr>
                <w:rFonts w:ascii="Arial" w:hAnsi="Arial" w:cs="Arial"/>
                <w:b/>
                <w:smallCaps/>
                <w:color w:val="000000"/>
              </w:rPr>
              <w:t>/202</w:t>
            </w:r>
            <w:r>
              <w:rPr>
                <w:rFonts w:ascii="Arial" w:hAnsi="Arial" w:cs="Arial"/>
                <w:b/>
                <w:smallCaps/>
                <w:color w:val="000000"/>
              </w:rPr>
              <w:t>7</w:t>
            </w:r>
          </w:p>
        </w:tc>
      </w:tr>
      <w:tr w:rsidR="00703C51" w14:paraId="21EFEB6D" w14:textId="77777777" w:rsidTr="00703C51">
        <w:trPr>
          <w:trHeight w:val="489"/>
        </w:trPr>
        <w:tc>
          <w:tcPr>
            <w:tcW w:w="2694" w:type="dxa"/>
            <w:vMerge/>
          </w:tcPr>
          <w:p w14:paraId="27FD374B" w14:textId="77777777" w:rsidR="00703C51" w:rsidRDefault="00703C51" w:rsidP="00703C51">
            <w:pPr>
              <w:jc w:val="both"/>
            </w:pPr>
          </w:p>
        </w:tc>
        <w:tc>
          <w:tcPr>
            <w:tcW w:w="231" w:type="dxa"/>
            <w:vMerge/>
            <w:tcBorders>
              <w:top w:val="nil"/>
              <w:bottom w:val="nil"/>
            </w:tcBorders>
          </w:tcPr>
          <w:p w14:paraId="383EFA7C" w14:textId="77777777" w:rsidR="00703C51" w:rsidRDefault="00703C51" w:rsidP="00703C51">
            <w:pPr>
              <w:jc w:val="both"/>
              <w:rPr>
                <w:rFonts w:ascii="Arial" w:hAnsi="Arial" w:cs="Arial"/>
                <w:b/>
                <w:color w:val="000000"/>
              </w:rPr>
            </w:pPr>
          </w:p>
        </w:tc>
        <w:tc>
          <w:tcPr>
            <w:tcW w:w="2887" w:type="dxa"/>
            <w:vMerge/>
            <w:vAlign w:val="center"/>
          </w:tcPr>
          <w:p w14:paraId="631C3066" w14:textId="77777777" w:rsidR="00703C51" w:rsidRDefault="00703C51" w:rsidP="00703C51">
            <w:pPr>
              <w:jc w:val="center"/>
              <w:rPr>
                <w:rFonts w:ascii="Arial" w:hAnsi="Arial" w:cs="Arial"/>
                <w:b/>
                <w:smallCaps/>
                <w:color w:val="000000"/>
              </w:rPr>
            </w:pPr>
          </w:p>
        </w:tc>
        <w:tc>
          <w:tcPr>
            <w:tcW w:w="231" w:type="dxa"/>
            <w:tcBorders>
              <w:top w:val="nil"/>
              <w:bottom w:val="nil"/>
            </w:tcBorders>
            <w:vAlign w:val="center"/>
          </w:tcPr>
          <w:p w14:paraId="4B79B297" w14:textId="77777777" w:rsidR="00703C51" w:rsidRDefault="00703C51" w:rsidP="00703C51">
            <w:pPr>
              <w:jc w:val="center"/>
              <w:rPr>
                <w:rFonts w:ascii="Arial" w:hAnsi="Arial" w:cs="Arial"/>
                <w:b/>
                <w:smallCaps/>
                <w:color w:val="000000"/>
              </w:rPr>
            </w:pPr>
          </w:p>
        </w:tc>
        <w:tc>
          <w:tcPr>
            <w:tcW w:w="4199" w:type="dxa"/>
            <w:gridSpan w:val="2"/>
            <w:tcBorders>
              <w:top w:val="dotted" w:sz="4" w:space="0" w:color="auto"/>
            </w:tcBorders>
            <w:vAlign w:val="center"/>
          </w:tcPr>
          <w:p w14:paraId="16C51629" w14:textId="43C79E53" w:rsidR="00703C51" w:rsidRDefault="00703C51" w:rsidP="00703C51">
            <w:pPr>
              <w:jc w:val="center"/>
              <w:rPr>
                <w:rFonts w:ascii="Arial" w:hAnsi="Arial" w:cs="Arial"/>
                <w:b/>
                <w:smallCaps/>
                <w:color w:val="000000"/>
              </w:rPr>
            </w:pPr>
            <w:r>
              <w:rPr>
                <w:rFonts w:ascii="Arial" w:hAnsi="Arial" w:cs="Arial"/>
                <w:smallCaps/>
                <w:color w:val="000000"/>
                <w:sz w:val="18"/>
              </w:rPr>
              <w:t>1</w:t>
            </w:r>
            <w:r>
              <w:rPr>
                <w:rFonts w:ascii="Arial" w:hAnsi="Arial" w:cs="Arial"/>
                <w:smallCaps/>
                <w:color w:val="000000"/>
                <w:sz w:val="18"/>
              </w:rPr>
              <w:t>.º SEMESTRE</w:t>
            </w:r>
          </w:p>
        </w:tc>
      </w:tr>
      <w:tr w:rsidR="00703C51" w14:paraId="63933BBD" w14:textId="77777777" w:rsidTr="00703C51">
        <w:tblPrEx>
          <w:tblBorders>
            <w:top w:val="none" w:sz="0" w:space="0" w:color="auto"/>
            <w:bottom w:val="single" w:sz="18" w:space="0" w:color="auto"/>
            <w:insideH w:val="dotted" w:sz="4" w:space="0" w:color="auto"/>
            <w:insideV w:val="dotted" w:sz="4" w:space="0" w:color="auto"/>
          </w:tblBorders>
        </w:tblPrEx>
        <w:trPr>
          <w:gridAfter w:val="1"/>
          <w:wAfter w:w="86" w:type="dxa"/>
          <w:trHeight w:val="454"/>
        </w:trPr>
        <w:tc>
          <w:tcPr>
            <w:tcW w:w="10156" w:type="dxa"/>
            <w:gridSpan w:val="5"/>
            <w:vAlign w:val="center"/>
          </w:tcPr>
          <w:p w14:paraId="0C2787D9" w14:textId="5078163B" w:rsidR="00703C51" w:rsidRDefault="00703C51" w:rsidP="00703C51">
            <w:pPr>
              <w:rPr>
                <w:rFonts w:ascii="Arial" w:hAnsi="Arial" w:cs="Arial"/>
                <w:b/>
                <w:smallCaps/>
                <w:color w:val="000000"/>
                <w:szCs w:val="24"/>
              </w:rPr>
            </w:pPr>
            <w:r>
              <w:rPr>
                <w:rFonts w:ascii="Arial" w:hAnsi="Arial" w:cs="Arial"/>
                <w:b/>
                <w:smallCaps/>
                <w:color w:val="000000"/>
                <w:szCs w:val="24"/>
              </w:rPr>
              <w:t>Guião de Exploração</w:t>
            </w:r>
            <w:r>
              <w:rPr>
                <w:rFonts w:ascii="Arial" w:hAnsi="Arial" w:cs="Arial"/>
                <w:b/>
                <w:smallCaps/>
                <w:color w:val="000000"/>
                <w:szCs w:val="24"/>
              </w:rPr>
              <w:t xml:space="preserve">                  </w:t>
            </w:r>
            <w:r>
              <w:rPr>
                <w:rFonts w:ascii="Arial" w:hAnsi="Arial" w:cs="Arial"/>
                <w:b/>
                <w:smallCaps/>
                <w:color w:val="000000"/>
              </w:rPr>
              <w:t>10</w:t>
            </w:r>
            <w:r>
              <w:rPr>
                <w:rFonts w:ascii="Arial" w:hAnsi="Arial" w:cs="Arial"/>
                <w:b/>
                <w:smallCaps/>
                <w:color w:val="000000"/>
              </w:rPr>
              <w:t xml:space="preserve">.º ano </w:t>
            </w:r>
            <w:r w:rsidR="004710DA">
              <w:rPr>
                <w:rFonts w:ascii="Arial" w:hAnsi="Arial" w:cs="Arial"/>
                <w:b/>
                <w:smallCaps/>
                <w:color w:val="000000"/>
              </w:rPr>
              <w:t xml:space="preserve">                                                                                      Geografia </w:t>
            </w:r>
            <w:r w:rsidR="004710DA" w:rsidRPr="004710DA">
              <w:rPr>
                <w:rFonts w:ascii="Arial" w:hAnsi="Arial" w:cs="Arial"/>
                <w:b/>
                <w:smallCaps/>
              </w:rPr>
              <w:t>A</w:t>
            </w:r>
            <w:r w:rsidRPr="004710DA">
              <w:rPr>
                <w:rFonts w:ascii="Arial" w:hAnsi="Arial" w:cs="Arial"/>
                <w:b/>
                <w:smallCaps/>
              </w:rPr>
              <w:t xml:space="preserve">               </w:t>
            </w:r>
          </w:p>
        </w:tc>
      </w:tr>
    </w:tbl>
    <w:p w14:paraId="32C86C7D" w14:textId="77777777" w:rsidR="007508A1" w:rsidRDefault="007508A1" w:rsidP="00703C51">
      <w:pPr>
        <w:spacing w:after="120"/>
        <w:jc w:val="center"/>
        <w:rPr>
          <w:rFonts w:ascii="Verdana" w:hAnsi="Verdana"/>
          <w:b/>
          <w:bCs/>
          <w:smallCaps/>
          <w:color w:val="C00000"/>
          <w:sz w:val="21"/>
          <w:szCs w:val="21"/>
        </w:rPr>
      </w:pPr>
    </w:p>
    <w:p w14:paraId="7BC3FA18" w14:textId="47D789A5" w:rsidR="00703C51" w:rsidRPr="004710DA" w:rsidRDefault="00703C51" w:rsidP="00703C51">
      <w:pPr>
        <w:spacing w:after="120"/>
        <w:jc w:val="center"/>
        <w:rPr>
          <w:rFonts w:ascii="Verdana" w:hAnsi="Verdana"/>
          <w:b/>
          <w:bCs/>
          <w:smallCaps/>
          <w:color w:val="C00000"/>
          <w:sz w:val="21"/>
          <w:szCs w:val="21"/>
        </w:rPr>
      </w:pPr>
      <w:r w:rsidRPr="004710DA">
        <w:rPr>
          <w:rFonts w:ascii="Verdana" w:hAnsi="Verdana"/>
          <w:b/>
          <w:bCs/>
          <w:smallCaps/>
          <w:color w:val="C00000"/>
          <w:sz w:val="21"/>
          <w:szCs w:val="21"/>
        </w:rPr>
        <w:t>O Futuro das Pescas e da Aquicultura Offshore em Portugal – Desafios e Oportunidades</w:t>
      </w:r>
    </w:p>
    <w:p w14:paraId="31F75919" w14:textId="77777777" w:rsidR="007508A1" w:rsidRPr="00E87B2B" w:rsidRDefault="007508A1" w:rsidP="007508A1">
      <w:pPr>
        <w:spacing w:after="120"/>
        <w:jc w:val="center"/>
        <w:rPr>
          <w:rFonts w:ascii="Verdana" w:hAnsi="Verdana"/>
          <w:b/>
          <w:bCs/>
        </w:rPr>
      </w:pPr>
      <w:r w:rsidRPr="00E87B2B">
        <w:rPr>
          <w:rFonts w:ascii="Verdana" w:hAnsi="Verdana"/>
          <w:b/>
          <w:bCs/>
        </w:rPr>
        <w:t>ANEXO PEDAGÓGICO: GUIÃO DE SOLUÇÕES E NOTAS DE APOIO AO PROFESSOR</w:t>
      </w:r>
    </w:p>
    <w:p w14:paraId="7921DFE8" w14:textId="77777777" w:rsidR="007508A1" w:rsidRPr="00E87B2B" w:rsidRDefault="007508A1" w:rsidP="007508A1">
      <w:pPr>
        <w:spacing w:after="120"/>
        <w:jc w:val="both"/>
        <w:rPr>
          <w:rFonts w:ascii="Verdana" w:hAnsi="Verdana"/>
        </w:rPr>
      </w:pPr>
      <w:r w:rsidRPr="00E87B2B">
        <w:rPr>
          <w:rFonts w:ascii="Verdana" w:hAnsi="Verdana"/>
          <w:i/>
          <w:iCs/>
        </w:rPr>
        <w:t>(Este anexo destina-se exclusivamente ao docente, servindo de base para a correção da atividade)</w:t>
      </w:r>
    </w:p>
    <w:p w14:paraId="2397C098" w14:textId="77777777" w:rsidR="007508A1" w:rsidRPr="00E87B2B" w:rsidRDefault="007508A1" w:rsidP="007508A1">
      <w:pPr>
        <w:spacing w:after="120"/>
        <w:jc w:val="both"/>
        <w:rPr>
          <w:rFonts w:ascii="Verdana" w:hAnsi="Verdana"/>
          <w:b/>
          <w:bCs/>
        </w:rPr>
      </w:pPr>
      <w:r w:rsidRPr="00E87B2B">
        <w:rPr>
          <w:rFonts w:ascii="Verdana" w:hAnsi="Verdana"/>
          <w:b/>
          <w:bCs/>
        </w:rPr>
        <w:t>SOLUÇÕES DA ATIVIDADE 1</w:t>
      </w:r>
    </w:p>
    <w:p w14:paraId="0FC43DB2" w14:textId="77777777" w:rsidR="007508A1" w:rsidRPr="00E87B2B" w:rsidRDefault="007508A1" w:rsidP="007508A1">
      <w:pPr>
        <w:numPr>
          <w:ilvl w:val="0"/>
          <w:numId w:val="8"/>
        </w:numPr>
        <w:spacing w:after="120"/>
        <w:jc w:val="both"/>
        <w:rPr>
          <w:rFonts w:ascii="Verdana" w:hAnsi="Verdana"/>
        </w:rPr>
      </w:pPr>
      <w:r w:rsidRPr="00E87B2B">
        <w:rPr>
          <w:rFonts w:ascii="Verdana" w:hAnsi="Verdana"/>
          <w:b/>
          <w:bCs/>
        </w:rPr>
        <w:t>1.1. Importância histórica e cultural:</w:t>
      </w:r>
      <w:r w:rsidRPr="00E87B2B">
        <w:rPr>
          <w:rFonts w:ascii="Verdana" w:hAnsi="Verdana"/>
        </w:rPr>
        <w:t> Espera-se que o aluno refira a tradição marítima portuguesa (ligada aos Descobrimentos e à pesca do bacalhau), a extensa costa litoral e a dieta mediterrânica/atlântica, que tornam Portugal um dos maiores consumidores de pescado do mundo (e o maior da União Europeia).</w:t>
      </w:r>
    </w:p>
    <w:p w14:paraId="767F8B29" w14:textId="77777777" w:rsidR="007508A1" w:rsidRPr="00E87B2B" w:rsidRDefault="007508A1" w:rsidP="007508A1">
      <w:pPr>
        <w:numPr>
          <w:ilvl w:val="0"/>
          <w:numId w:val="8"/>
        </w:numPr>
        <w:spacing w:after="120"/>
        <w:jc w:val="both"/>
        <w:rPr>
          <w:rFonts w:ascii="Verdana" w:hAnsi="Verdana"/>
        </w:rPr>
      </w:pPr>
      <w:r w:rsidRPr="00E87B2B">
        <w:rPr>
          <w:rFonts w:ascii="Verdana" w:hAnsi="Verdana"/>
          <w:b/>
          <w:bCs/>
        </w:rPr>
        <w:t>1.2. Soberania Alimentar:</w:t>
      </w:r>
      <w:r w:rsidRPr="00E87B2B">
        <w:rPr>
          <w:rFonts w:ascii="Verdana" w:hAnsi="Verdana"/>
        </w:rPr>
        <w:t> Consiste na capacidade de um país produzir os seus próprios alimentos básicos de forma sustentável, garantindo o abastecimento da sua população sem dependência crítica do exterior. A dependência excessiva de importações expõe o país a flutuações de preços internacionais, crises logísticas ou roturas de abastecimento em cenários geopolíticos instáveis.</w:t>
      </w:r>
    </w:p>
    <w:p w14:paraId="160A9843" w14:textId="77777777" w:rsidR="007508A1" w:rsidRPr="00E87B2B" w:rsidRDefault="007508A1" w:rsidP="007508A1">
      <w:pPr>
        <w:spacing w:after="120"/>
        <w:jc w:val="both"/>
        <w:rPr>
          <w:rFonts w:ascii="Verdana" w:hAnsi="Verdana"/>
          <w:b/>
          <w:bCs/>
        </w:rPr>
      </w:pPr>
      <w:r w:rsidRPr="00E87B2B">
        <w:rPr>
          <w:rFonts w:ascii="Verdana" w:hAnsi="Verdana"/>
          <w:b/>
          <w:bCs/>
        </w:rPr>
        <w:t>SOLUÇÕES DA ATIVIDADE 2</w:t>
      </w:r>
    </w:p>
    <w:p w14:paraId="2F7FF943" w14:textId="77777777" w:rsidR="007508A1" w:rsidRPr="00E87B2B" w:rsidRDefault="007508A1" w:rsidP="007508A1">
      <w:pPr>
        <w:numPr>
          <w:ilvl w:val="0"/>
          <w:numId w:val="9"/>
        </w:numPr>
        <w:spacing w:after="120"/>
        <w:jc w:val="both"/>
        <w:rPr>
          <w:rFonts w:ascii="Verdana" w:hAnsi="Verdana"/>
        </w:rPr>
      </w:pPr>
      <w:r w:rsidRPr="00E87B2B">
        <w:rPr>
          <w:rFonts w:ascii="Verdana" w:hAnsi="Verdana"/>
          <w:b/>
          <w:bCs/>
        </w:rPr>
        <w:t>2.1. Paradoxo do pescado em Portugal:</w:t>
      </w:r>
      <w:r w:rsidRPr="00E87B2B">
        <w:rPr>
          <w:rFonts w:ascii="Verdana" w:hAnsi="Verdana"/>
        </w:rPr>
        <w:t> Portugal é o maior consumidor de pescado da Europa e um dos maiores do mundo, afirmando ter "o melhor peixe do mundo", mas importa entre 60% e 80% do pescado que consome.</w:t>
      </w:r>
    </w:p>
    <w:p w14:paraId="5B8A5EA6" w14:textId="77777777" w:rsidR="007508A1" w:rsidRPr="00E87B2B" w:rsidRDefault="007508A1" w:rsidP="007508A1">
      <w:pPr>
        <w:numPr>
          <w:ilvl w:val="0"/>
          <w:numId w:val="9"/>
        </w:numPr>
        <w:spacing w:after="120"/>
        <w:jc w:val="both"/>
        <w:rPr>
          <w:rFonts w:ascii="Verdana" w:hAnsi="Verdana"/>
        </w:rPr>
      </w:pPr>
      <w:r w:rsidRPr="00E87B2B">
        <w:rPr>
          <w:rFonts w:ascii="Verdana" w:hAnsi="Verdana"/>
          <w:b/>
          <w:bCs/>
        </w:rPr>
        <w:t>2.2. Faina em Sesimbra (Traineira </w:t>
      </w:r>
      <w:r w:rsidRPr="00E87B2B">
        <w:rPr>
          <w:rFonts w:ascii="Verdana" w:hAnsi="Verdana"/>
          <w:b/>
          <w:bCs/>
          <w:i/>
          <w:iCs/>
        </w:rPr>
        <w:t>Mestre Manso</w:t>
      </w:r>
      <w:r w:rsidRPr="00E87B2B">
        <w:rPr>
          <w:rFonts w:ascii="Verdana" w:hAnsi="Verdana"/>
          <w:b/>
          <w:bCs/>
        </w:rPr>
        <w:t>):</w:t>
      </w:r>
    </w:p>
    <w:p w14:paraId="665DE1F1" w14:textId="77777777" w:rsidR="007508A1" w:rsidRPr="00E87B2B" w:rsidRDefault="007508A1" w:rsidP="007508A1">
      <w:pPr>
        <w:numPr>
          <w:ilvl w:val="1"/>
          <w:numId w:val="9"/>
        </w:numPr>
        <w:spacing w:after="120"/>
        <w:jc w:val="both"/>
        <w:rPr>
          <w:rFonts w:ascii="Verdana" w:hAnsi="Verdana"/>
        </w:rPr>
      </w:pPr>
      <w:r w:rsidRPr="00E87B2B">
        <w:rPr>
          <w:rFonts w:ascii="Verdana" w:hAnsi="Verdana"/>
          <w:b/>
          <w:bCs/>
        </w:rPr>
        <w:t>a) Tecnologia:</w:t>
      </w:r>
      <w:r w:rsidRPr="00E87B2B">
        <w:rPr>
          <w:rFonts w:ascii="Verdana" w:hAnsi="Verdana"/>
        </w:rPr>
        <w:t> O </w:t>
      </w:r>
      <w:r w:rsidRPr="00E87B2B">
        <w:rPr>
          <w:rFonts w:ascii="Verdana" w:hAnsi="Verdana"/>
          <w:i/>
          <w:iCs/>
        </w:rPr>
        <w:t>sonar</w:t>
      </w:r>
      <w:r w:rsidRPr="00E87B2B">
        <w:rPr>
          <w:rFonts w:ascii="Verdana" w:hAnsi="Verdana"/>
        </w:rPr>
        <w:t> para o varrimento horizontal (localizar o cardume ao redor) e a </w:t>
      </w:r>
      <w:r w:rsidRPr="00E87B2B">
        <w:rPr>
          <w:rFonts w:ascii="Verdana" w:hAnsi="Verdana"/>
          <w:i/>
          <w:iCs/>
        </w:rPr>
        <w:t>sonda</w:t>
      </w:r>
      <w:r w:rsidRPr="00E87B2B">
        <w:rPr>
          <w:rFonts w:ascii="Verdana" w:hAnsi="Verdana"/>
        </w:rPr>
        <w:t> para o varrimento vertical (percorrer por cima do peixe para identificar a espécie e a profundidade).</w:t>
      </w:r>
    </w:p>
    <w:p w14:paraId="3AB1BA03" w14:textId="77777777" w:rsidR="007508A1" w:rsidRPr="00E87B2B" w:rsidRDefault="007508A1" w:rsidP="007508A1">
      <w:pPr>
        <w:numPr>
          <w:ilvl w:val="1"/>
          <w:numId w:val="9"/>
        </w:numPr>
        <w:spacing w:after="120"/>
        <w:jc w:val="both"/>
        <w:rPr>
          <w:rFonts w:ascii="Verdana" w:hAnsi="Verdana"/>
        </w:rPr>
      </w:pPr>
      <w:r w:rsidRPr="00E87B2B">
        <w:rPr>
          <w:rFonts w:ascii="Verdana" w:hAnsi="Verdana"/>
          <w:b/>
          <w:bCs/>
        </w:rPr>
        <w:t>b) Método de pesca:</w:t>
      </w:r>
      <w:r w:rsidRPr="00E87B2B">
        <w:rPr>
          <w:rFonts w:ascii="Verdana" w:hAnsi="Verdana"/>
        </w:rPr>
        <w:t> Pesca de cerco (redes de cerco para encorralar o peixe).</w:t>
      </w:r>
    </w:p>
    <w:p w14:paraId="4F39C84D" w14:textId="77777777" w:rsidR="007508A1" w:rsidRPr="00E87B2B" w:rsidRDefault="007508A1" w:rsidP="007508A1">
      <w:pPr>
        <w:numPr>
          <w:ilvl w:val="1"/>
          <w:numId w:val="9"/>
        </w:numPr>
        <w:spacing w:after="120"/>
        <w:jc w:val="both"/>
        <w:rPr>
          <w:rFonts w:ascii="Verdana" w:hAnsi="Verdana"/>
        </w:rPr>
      </w:pPr>
      <w:r w:rsidRPr="00E87B2B">
        <w:rPr>
          <w:rFonts w:ascii="Verdana" w:hAnsi="Verdana"/>
          <w:b/>
          <w:bCs/>
        </w:rPr>
        <w:t>c) Jornada de trabalho:</w:t>
      </w:r>
      <w:r w:rsidRPr="00E87B2B">
        <w:rPr>
          <w:rFonts w:ascii="Verdana" w:hAnsi="Verdana"/>
        </w:rPr>
        <w:t> No mínimo 7 a 8 horas, podendo estender-se até às 16 ou 17 horas diárias de laboração contínua.</w:t>
      </w:r>
    </w:p>
    <w:p w14:paraId="76C60930" w14:textId="77777777" w:rsidR="007508A1" w:rsidRPr="00E87B2B" w:rsidRDefault="007508A1" w:rsidP="007508A1">
      <w:pPr>
        <w:numPr>
          <w:ilvl w:val="0"/>
          <w:numId w:val="9"/>
        </w:numPr>
        <w:spacing w:after="120"/>
        <w:jc w:val="both"/>
        <w:rPr>
          <w:rFonts w:ascii="Verdana" w:hAnsi="Verdana"/>
        </w:rPr>
      </w:pPr>
      <w:r w:rsidRPr="00E87B2B">
        <w:rPr>
          <w:rFonts w:ascii="Verdana" w:hAnsi="Verdana"/>
          <w:b/>
          <w:bCs/>
        </w:rPr>
        <w:t>2.3. Remuneração à parte ("venda à parte"):</w:t>
      </w:r>
      <w:r w:rsidRPr="00E87B2B">
        <w:rPr>
          <w:rFonts w:ascii="Verdana" w:hAnsi="Verdana"/>
        </w:rPr>
        <w:t> Os tripulantes não têm um salário base fixo. O rendimento depende diretamente da faturação líquida da traineira (após deduzidas as despesas do barco). Se não pescarem peixe em quantidade ou valor comercial na lota, os marinheiros podem ganhar valores extremamente baixos ou mesmo zero na jornada. No documentário, após deduzidas as despesas, os lucros são divididos em partes (um tripulante pode receber 1,5 a 2 partes, e o mestre até 5 partes). Naquela noite específica, cada tripulante levou para casa um mínimo de 50 €.</w:t>
      </w:r>
    </w:p>
    <w:p w14:paraId="265B60C3" w14:textId="77777777" w:rsidR="007508A1" w:rsidRPr="00E87B2B" w:rsidRDefault="007508A1" w:rsidP="007508A1">
      <w:pPr>
        <w:numPr>
          <w:ilvl w:val="0"/>
          <w:numId w:val="9"/>
        </w:numPr>
        <w:spacing w:after="120"/>
        <w:jc w:val="both"/>
        <w:rPr>
          <w:rFonts w:ascii="Verdana" w:hAnsi="Verdana"/>
        </w:rPr>
      </w:pPr>
      <w:r w:rsidRPr="00E87B2B">
        <w:rPr>
          <w:rFonts w:ascii="Verdana" w:hAnsi="Verdana"/>
          <w:b/>
          <w:bCs/>
        </w:rPr>
        <w:t>2.4. Discrepância de preços:</w:t>
      </w:r>
      <w:r w:rsidRPr="00E87B2B">
        <w:rPr>
          <w:rFonts w:ascii="Verdana" w:hAnsi="Verdana"/>
        </w:rPr>
        <w:t> O quilo do carapau na lota de Sesimbra é vendido por cerca de 2€, enquanto nos mercados de retalho ao consumidor final o preço pode atingir o triplo ou o quádruplo desse valor.</w:t>
      </w:r>
    </w:p>
    <w:p w14:paraId="1A9BE917" w14:textId="77777777" w:rsidR="007508A1" w:rsidRPr="00E87B2B" w:rsidRDefault="007508A1" w:rsidP="007508A1">
      <w:pPr>
        <w:numPr>
          <w:ilvl w:val="0"/>
          <w:numId w:val="9"/>
        </w:numPr>
        <w:spacing w:after="120"/>
        <w:jc w:val="both"/>
        <w:rPr>
          <w:rFonts w:ascii="Verdana" w:hAnsi="Verdana"/>
        </w:rPr>
      </w:pPr>
      <w:r w:rsidRPr="00E87B2B">
        <w:rPr>
          <w:rFonts w:ascii="Verdana" w:hAnsi="Verdana"/>
          <w:b/>
          <w:bCs/>
        </w:rPr>
        <w:t>2.5. Capturas Portugal vs Noruega e limites ambientais:</w:t>
      </w:r>
      <w:r w:rsidRPr="00E87B2B">
        <w:rPr>
          <w:rFonts w:ascii="Verdana" w:hAnsi="Verdana"/>
        </w:rPr>
        <w:t> Portugal capturou cerca de 163 mil toneladas de peixe no Atlântico no ano de referência, enquanto a Noruega pescou quase 3 milhões de toneladas. Contudo, a pesca de peixe selvagem em mar aberto atingiu o seu limite ecológico; os cientistas impõem quotas rígidas porque os oceanos não conseguem dar mais peixe selvagem sem destruir de forma irreversível os mananciais marinhos (</w:t>
      </w:r>
      <w:r w:rsidRPr="00E87B2B">
        <w:rPr>
          <w:rFonts w:ascii="Verdana" w:hAnsi="Verdana"/>
          <w:i/>
          <w:iCs/>
        </w:rPr>
        <w:t>stocks</w:t>
      </w:r>
      <w:r w:rsidRPr="00E87B2B">
        <w:rPr>
          <w:rFonts w:ascii="Verdana" w:hAnsi="Verdana"/>
        </w:rPr>
        <w:t>).</w:t>
      </w:r>
    </w:p>
    <w:p w14:paraId="6A49DF6F" w14:textId="77777777" w:rsidR="007508A1" w:rsidRPr="00E87B2B" w:rsidRDefault="007508A1" w:rsidP="007508A1">
      <w:pPr>
        <w:numPr>
          <w:ilvl w:val="0"/>
          <w:numId w:val="9"/>
        </w:numPr>
        <w:spacing w:after="120"/>
        <w:jc w:val="both"/>
        <w:rPr>
          <w:rFonts w:ascii="Verdana" w:hAnsi="Verdana"/>
        </w:rPr>
      </w:pPr>
      <w:r w:rsidRPr="00E87B2B">
        <w:rPr>
          <w:rFonts w:ascii="Verdana" w:hAnsi="Verdana"/>
          <w:b/>
          <w:bCs/>
        </w:rPr>
        <w:t>2.6. Aquicultura na Noruega (</w:t>
      </w:r>
      <w:r w:rsidRPr="00E87B2B">
        <w:rPr>
          <w:rFonts w:ascii="Verdana" w:hAnsi="Verdana"/>
          <w:b/>
          <w:bCs/>
          <w:i/>
          <w:iCs/>
        </w:rPr>
        <w:t>Leroy</w:t>
      </w:r>
      <w:r w:rsidRPr="00E87B2B">
        <w:rPr>
          <w:rFonts w:ascii="Verdana" w:hAnsi="Verdana"/>
          <w:b/>
          <w:bCs/>
        </w:rPr>
        <w:t>):</w:t>
      </w:r>
    </w:p>
    <w:p w14:paraId="2F0D9B7D" w14:textId="77777777" w:rsidR="007508A1" w:rsidRPr="00E87B2B" w:rsidRDefault="007508A1" w:rsidP="007508A1">
      <w:pPr>
        <w:numPr>
          <w:ilvl w:val="1"/>
          <w:numId w:val="9"/>
        </w:numPr>
        <w:spacing w:after="120"/>
        <w:jc w:val="both"/>
        <w:rPr>
          <w:rFonts w:ascii="Verdana" w:hAnsi="Verdana"/>
        </w:rPr>
      </w:pPr>
      <w:r w:rsidRPr="00E87B2B">
        <w:rPr>
          <w:rFonts w:ascii="Verdana" w:hAnsi="Verdana"/>
          <w:b/>
          <w:bCs/>
        </w:rPr>
        <w:t>a) Localização:</w:t>
      </w:r>
      <w:r w:rsidRPr="00E87B2B">
        <w:rPr>
          <w:rFonts w:ascii="Verdana" w:hAnsi="Verdana"/>
        </w:rPr>
        <w:t> Instalada nos </w:t>
      </w:r>
      <w:r w:rsidRPr="00E87B2B">
        <w:rPr>
          <w:rFonts w:ascii="Verdana" w:hAnsi="Verdana"/>
          <w:i/>
          <w:iCs/>
        </w:rPr>
        <w:t>fjords</w:t>
      </w:r>
      <w:r w:rsidRPr="00E87B2B">
        <w:rPr>
          <w:rFonts w:ascii="Verdana" w:hAnsi="Verdana"/>
        </w:rPr>
        <w:t> (fiordes) protegidos por centenas de pequenas ilhas que quebram a agressividade das ondas do Atlântico Norte.</w:t>
      </w:r>
    </w:p>
    <w:p w14:paraId="3812CF0C" w14:textId="77777777" w:rsidR="007508A1" w:rsidRPr="00E87B2B" w:rsidRDefault="007508A1" w:rsidP="007508A1">
      <w:pPr>
        <w:numPr>
          <w:ilvl w:val="1"/>
          <w:numId w:val="9"/>
        </w:numPr>
        <w:spacing w:after="120"/>
        <w:jc w:val="both"/>
        <w:rPr>
          <w:rFonts w:ascii="Verdana" w:hAnsi="Verdana"/>
        </w:rPr>
      </w:pPr>
      <w:r w:rsidRPr="00E87B2B">
        <w:rPr>
          <w:rFonts w:ascii="Verdana" w:hAnsi="Verdana"/>
          <w:b/>
          <w:bCs/>
        </w:rPr>
        <w:t>b) Ração:</w:t>
      </w:r>
      <w:r w:rsidRPr="00E87B2B">
        <w:rPr>
          <w:rFonts w:ascii="Verdana" w:hAnsi="Verdana"/>
        </w:rPr>
        <w:t> Feita à base de soja importada do Brasil.</w:t>
      </w:r>
    </w:p>
    <w:p w14:paraId="449DC185" w14:textId="77777777" w:rsidR="007508A1" w:rsidRPr="00E87B2B" w:rsidRDefault="007508A1" w:rsidP="007508A1">
      <w:pPr>
        <w:numPr>
          <w:ilvl w:val="1"/>
          <w:numId w:val="9"/>
        </w:numPr>
        <w:spacing w:after="120"/>
        <w:jc w:val="both"/>
        <w:rPr>
          <w:rFonts w:ascii="Verdana" w:hAnsi="Verdana"/>
        </w:rPr>
      </w:pPr>
      <w:r w:rsidRPr="00E87B2B">
        <w:rPr>
          <w:rFonts w:ascii="Verdana" w:hAnsi="Verdana"/>
          <w:b/>
          <w:bCs/>
        </w:rPr>
        <w:lastRenderedPageBreak/>
        <w:t>c) Escala:</w:t>
      </w:r>
      <w:r w:rsidRPr="00E87B2B">
        <w:rPr>
          <w:rFonts w:ascii="Verdana" w:hAnsi="Verdana"/>
        </w:rPr>
        <w:t> A população total estimada de salmão selvagem na Noruega é de apenas 500 mil indivíduos, o que caberia em apenas duas gaiolas e meia das milhares de gaiolas de aquicultura existentes no país.</w:t>
      </w:r>
    </w:p>
    <w:p w14:paraId="7315F410" w14:textId="77777777" w:rsidR="007508A1" w:rsidRPr="00E87B2B" w:rsidRDefault="007508A1" w:rsidP="007508A1">
      <w:pPr>
        <w:numPr>
          <w:ilvl w:val="1"/>
          <w:numId w:val="9"/>
        </w:numPr>
        <w:spacing w:after="120"/>
        <w:jc w:val="both"/>
        <w:rPr>
          <w:rFonts w:ascii="Verdana" w:hAnsi="Verdana"/>
        </w:rPr>
      </w:pPr>
      <w:r w:rsidRPr="00E87B2B">
        <w:rPr>
          <w:rFonts w:ascii="Verdana" w:hAnsi="Verdana"/>
          <w:b/>
          <w:bCs/>
        </w:rPr>
        <w:t>d) Tecnologias de controlo:</w:t>
      </w:r>
      <w:r w:rsidRPr="00E87B2B">
        <w:rPr>
          <w:rFonts w:ascii="Verdana" w:hAnsi="Verdana"/>
        </w:rPr>
        <w:t> Câmaras com inteligência artificial para monitorizar a velocidade e comportamento dos peixes (garantindo o seu bem-estar) e lasers subaquáticos de precisão instalados nas gaiolas para eliminar os parasitas (piolho do salmão).</w:t>
      </w:r>
    </w:p>
    <w:p w14:paraId="2C410778" w14:textId="77777777" w:rsidR="007508A1" w:rsidRPr="00E87B2B" w:rsidRDefault="007508A1" w:rsidP="007508A1">
      <w:pPr>
        <w:numPr>
          <w:ilvl w:val="0"/>
          <w:numId w:val="9"/>
        </w:numPr>
        <w:spacing w:after="120"/>
        <w:jc w:val="both"/>
        <w:rPr>
          <w:rFonts w:ascii="Verdana" w:hAnsi="Verdana"/>
        </w:rPr>
      </w:pPr>
      <w:r w:rsidRPr="00E87B2B">
        <w:rPr>
          <w:rFonts w:ascii="Verdana" w:hAnsi="Verdana"/>
          <w:b/>
          <w:bCs/>
        </w:rPr>
        <w:t>2.7. Investigação no </w:t>
      </w:r>
      <w:r w:rsidRPr="00E87B2B">
        <w:rPr>
          <w:rFonts w:ascii="Verdana" w:hAnsi="Verdana"/>
          <w:b/>
          <w:bCs/>
          <w:i/>
          <w:iCs/>
        </w:rPr>
        <w:t>INESC TEC</w:t>
      </w:r>
      <w:r w:rsidRPr="00E87B2B">
        <w:rPr>
          <w:rFonts w:ascii="Verdana" w:hAnsi="Verdana"/>
          <w:b/>
          <w:bCs/>
        </w:rPr>
        <w:t> (Porto):</w:t>
      </w:r>
    </w:p>
    <w:p w14:paraId="55C85199" w14:textId="77777777" w:rsidR="007508A1" w:rsidRPr="00E87B2B" w:rsidRDefault="007508A1" w:rsidP="007508A1">
      <w:pPr>
        <w:numPr>
          <w:ilvl w:val="1"/>
          <w:numId w:val="9"/>
        </w:numPr>
        <w:spacing w:after="120"/>
        <w:jc w:val="both"/>
        <w:rPr>
          <w:rFonts w:ascii="Verdana" w:hAnsi="Verdana"/>
        </w:rPr>
      </w:pPr>
      <w:r w:rsidRPr="00E87B2B">
        <w:rPr>
          <w:rFonts w:ascii="Verdana" w:hAnsi="Verdana"/>
          <w:b/>
          <w:bCs/>
        </w:rPr>
        <w:t>a) Limitação da interface ar-água:</w:t>
      </w:r>
      <w:r w:rsidRPr="00E87B2B">
        <w:rPr>
          <w:rFonts w:ascii="Verdana" w:hAnsi="Verdana"/>
        </w:rPr>
        <w:t> As maiores forças destrutivas e riscos de operação marítima (vento, ondulação extrema, agitação de superfície) ocorrem na interface ar-água, impossibilitando a operação constante de embarcações.</w:t>
      </w:r>
    </w:p>
    <w:p w14:paraId="00EF2D9B" w14:textId="77777777" w:rsidR="007508A1" w:rsidRPr="00E87B2B" w:rsidRDefault="007508A1" w:rsidP="007508A1">
      <w:pPr>
        <w:numPr>
          <w:ilvl w:val="1"/>
          <w:numId w:val="9"/>
        </w:numPr>
        <w:spacing w:after="120"/>
        <w:jc w:val="both"/>
        <w:rPr>
          <w:rFonts w:ascii="Verdana" w:hAnsi="Verdana"/>
        </w:rPr>
      </w:pPr>
      <w:r w:rsidRPr="00E87B2B">
        <w:rPr>
          <w:rFonts w:ascii="Verdana" w:hAnsi="Verdana"/>
          <w:b/>
          <w:bCs/>
        </w:rPr>
        <w:t>b) Solução tecnológica offshore para Portugal:</w:t>
      </w:r>
      <w:r w:rsidRPr="00E87B2B">
        <w:rPr>
          <w:rFonts w:ascii="Verdana" w:hAnsi="Verdana"/>
        </w:rPr>
        <w:t> Instalação de gaiolas de aquicultura subaquáticas localizadas a 30 metros de profundidade, abaixo da zona de maior turbulência das ondas do Atlântico Ocidental, sendo monitorizadas e operadas de forma autónoma por veículos robóticos subaquáticos equipados com sensores nanométricos de fotónica.</w:t>
      </w:r>
    </w:p>
    <w:p w14:paraId="72B550AC" w14:textId="77777777" w:rsidR="007508A1" w:rsidRPr="00E87B2B" w:rsidRDefault="007508A1" w:rsidP="007508A1">
      <w:pPr>
        <w:numPr>
          <w:ilvl w:val="0"/>
          <w:numId w:val="9"/>
        </w:numPr>
        <w:spacing w:after="120"/>
        <w:jc w:val="both"/>
        <w:rPr>
          <w:rFonts w:ascii="Verdana" w:hAnsi="Verdana"/>
        </w:rPr>
      </w:pPr>
      <w:r w:rsidRPr="00E87B2B">
        <w:rPr>
          <w:rFonts w:ascii="Verdana" w:hAnsi="Verdana"/>
          <w:b/>
          <w:bCs/>
        </w:rPr>
        <w:t>2.8. Infraestrutura experimental:</w:t>
      </w:r>
      <w:r w:rsidRPr="00E87B2B">
        <w:rPr>
          <w:rFonts w:ascii="Verdana" w:hAnsi="Verdana"/>
        </w:rPr>
        <w:t> Uma nova bacia com 10 metros de profundidade por 30 metros de largura e comprimento, localizada perto de Leixões, projetada para simular em ambiente controlado a energia da costa ocidental portuguesa.</w:t>
      </w:r>
    </w:p>
    <w:p w14:paraId="30E4CD9F" w14:textId="77777777" w:rsidR="007508A1" w:rsidRPr="00E87B2B" w:rsidRDefault="007508A1" w:rsidP="007508A1">
      <w:pPr>
        <w:numPr>
          <w:ilvl w:val="0"/>
          <w:numId w:val="9"/>
        </w:numPr>
        <w:spacing w:after="120"/>
        <w:jc w:val="both"/>
        <w:rPr>
          <w:rFonts w:ascii="Verdana" w:hAnsi="Verdana"/>
        </w:rPr>
      </w:pPr>
      <w:r w:rsidRPr="00E87B2B">
        <w:rPr>
          <w:rFonts w:ascii="Verdana" w:hAnsi="Verdana"/>
          <w:b/>
          <w:bCs/>
        </w:rPr>
        <w:t>2.9. Entraves em Portugal:</w:t>
      </w:r>
    </w:p>
    <w:p w14:paraId="54B12ACC" w14:textId="77777777" w:rsidR="007508A1" w:rsidRPr="00E87B2B" w:rsidRDefault="007508A1" w:rsidP="007508A1">
      <w:pPr>
        <w:numPr>
          <w:ilvl w:val="1"/>
          <w:numId w:val="9"/>
        </w:numPr>
        <w:spacing w:after="120"/>
        <w:jc w:val="both"/>
        <w:rPr>
          <w:rFonts w:ascii="Verdana" w:hAnsi="Verdana"/>
        </w:rPr>
      </w:pPr>
      <w:r w:rsidRPr="00E87B2B">
        <w:rPr>
          <w:rFonts w:ascii="Verdana" w:hAnsi="Verdana"/>
          <w:b/>
          <w:bCs/>
        </w:rPr>
        <w:t>a) Burocracia:</w:t>
      </w:r>
      <w:r w:rsidRPr="00E87B2B">
        <w:rPr>
          <w:rFonts w:ascii="Verdana" w:hAnsi="Verdana"/>
        </w:rPr>
        <w:t> O processo de licenciamento de uma única exploração de aquicultura em Portugal demora anos e exige a aprovação de </w:t>
      </w:r>
      <w:r w:rsidRPr="00E87B2B">
        <w:rPr>
          <w:rFonts w:ascii="Verdana" w:hAnsi="Verdana"/>
          <w:b/>
          <w:bCs/>
        </w:rPr>
        <w:t>seis entidades diferentes</w:t>
      </w:r>
      <w:r w:rsidRPr="00E87B2B">
        <w:rPr>
          <w:rFonts w:ascii="Verdana" w:hAnsi="Verdana"/>
        </w:rPr>
        <w:t>: DGRM, Secretaria de Estado das Pescas, ICNF, Secretaria de Estado do Ambiente, ASAE e Docapesca.</w:t>
      </w:r>
    </w:p>
    <w:p w14:paraId="2BC3AC60" w14:textId="77777777" w:rsidR="007508A1" w:rsidRPr="00E87B2B" w:rsidRDefault="007508A1" w:rsidP="007508A1">
      <w:pPr>
        <w:numPr>
          <w:ilvl w:val="1"/>
          <w:numId w:val="9"/>
        </w:numPr>
        <w:spacing w:after="120"/>
        <w:jc w:val="both"/>
        <w:rPr>
          <w:rFonts w:ascii="Verdana" w:hAnsi="Verdana"/>
        </w:rPr>
      </w:pPr>
      <w:r w:rsidRPr="00E87B2B">
        <w:rPr>
          <w:rFonts w:ascii="Verdana" w:hAnsi="Verdana"/>
          <w:b/>
          <w:bCs/>
        </w:rPr>
        <w:t>b) Falta de Maternidades:</w:t>
      </w:r>
      <w:r w:rsidRPr="00E87B2B">
        <w:rPr>
          <w:rFonts w:ascii="Verdana" w:hAnsi="Verdana"/>
        </w:rPr>
        <w:t> Portugal apenas tem maternidades em terra para peixes planos (linguado e pregado, como a da Póvoa de Varzim). Não existem maternidades nacionais para robalo ou dourada (as principais espécies produzidas em alto mar), forçando o país a importar juvenis de outros países da Europa, o que fragiliza e encarece a cadeia de valor.</w:t>
      </w:r>
    </w:p>
    <w:p w14:paraId="0CB8B7AB" w14:textId="77777777" w:rsidR="007508A1" w:rsidRPr="00E87B2B" w:rsidRDefault="007508A1" w:rsidP="007508A1">
      <w:pPr>
        <w:numPr>
          <w:ilvl w:val="0"/>
          <w:numId w:val="9"/>
        </w:numPr>
        <w:spacing w:after="120"/>
        <w:jc w:val="both"/>
        <w:rPr>
          <w:rFonts w:ascii="Verdana" w:hAnsi="Verdana"/>
        </w:rPr>
      </w:pPr>
      <w:r w:rsidRPr="00E87B2B">
        <w:rPr>
          <w:rFonts w:ascii="Verdana" w:hAnsi="Verdana"/>
          <w:b/>
          <w:bCs/>
        </w:rPr>
        <w:t>2.10. Problemas portuários e investimento:</w:t>
      </w:r>
      <w:r w:rsidRPr="00E87B2B">
        <w:rPr>
          <w:rFonts w:ascii="Verdana" w:hAnsi="Verdana"/>
        </w:rPr>
        <w:t> Em Vila Real de Santo António, existe um barco naufragado há vários anos que bloqueia e põe em risco a navegação à entrada do porto. Em Sesimbra, o porto de abrigo apresenta graves problemas de segurança, como cais danificados e escadas partidas com ferros expostos, apesar de acolher traineiras altamente tecnológicas que representam investimentos de 2,5 milhões de euros por embarcação. O plano de investimento da </w:t>
      </w:r>
      <w:r w:rsidRPr="00E87B2B">
        <w:rPr>
          <w:rFonts w:ascii="Verdana" w:hAnsi="Verdana"/>
          <w:i/>
          <w:iCs/>
        </w:rPr>
        <w:t>Docapesca</w:t>
      </w:r>
      <w:r w:rsidRPr="00E87B2B">
        <w:rPr>
          <w:rFonts w:ascii="Verdana" w:hAnsi="Verdana"/>
        </w:rPr>
        <w:t> até 2030 prevê uma dotação de </w:t>
      </w:r>
      <w:r w:rsidRPr="00E87B2B">
        <w:rPr>
          <w:rFonts w:ascii="Verdana" w:hAnsi="Verdana"/>
          <w:b/>
          <w:bCs/>
        </w:rPr>
        <w:t>20 milhões de euros</w:t>
      </w:r>
      <w:r w:rsidRPr="00E87B2B">
        <w:rPr>
          <w:rFonts w:ascii="Verdana" w:hAnsi="Verdana"/>
        </w:rPr>
        <w:t> para portos e docas nacionais.</w:t>
      </w:r>
    </w:p>
    <w:p w14:paraId="256AD7F7" w14:textId="77777777" w:rsidR="007508A1" w:rsidRPr="00E87B2B" w:rsidRDefault="007508A1" w:rsidP="007508A1">
      <w:pPr>
        <w:numPr>
          <w:ilvl w:val="0"/>
          <w:numId w:val="9"/>
        </w:numPr>
        <w:spacing w:after="120"/>
        <w:jc w:val="both"/>
        <w:rPr>
          <w:rFonts w:ascii="Verdana" w:hAnsi="Verdana"/>
        </w:rPr>
      </w:pPr>
      <w:r w:rsidRPr="00E87B2B">
        <w:rPr>
          <w:rFonts w:ascii="Verdana" w:hAnsi="Verdana"/>
          <w:b/>
          <w:bCs/>
        </w:rPr>
        <w:t>2.11. Exploração da </w:t>
      </w:r>
      <w:r w:rsidRPr="00E87B2B">
        <w:rPr>
          <w:rFonts w:ascii="Verdana" w:hAnsi="Verdana"/>
          <w:b/>
          <w:bCs/>
          <w:i/>
          <w:iCs/>
        </w:rPr>
        <w:t>Seaculture</w:t>
      </w:r>
      <w:r w:rsidRPr="00E87B2B">
        <w:rPr>
          <w:rFonts w:ascii="Verdana" w:hAnsi="Verdana"/>
          <w:b/>
          <w:bCs/>
        </w:rPr>
        <w:t> no Algarve:</w:t>
      </w:r>
    </w:p>
    <w:p w14:paraId="0EEBE517" w14:textId="77777777" w:rsidR="007508A1" w:rsidRPr="00E87B2B" w:rsidRDefault="007508A1" w:rsidP="007508A1">
      <w:pPr>
        <w:numPr>
          <w:ilvl w:val="1"/>
          <w:numId w:val="9"/>
        </w:numPr>
        <w:spacing w:after="120"/>
        <w:jc w:val="both"/>
        <w:rPr>
          <w:rFonts w:ascii="Verdana" w:hAnsi="Verdana"/>
        </w:rPr>
      </w:pPr>
      <w:r w:rsidRPr="00E87B2B">
        <w:rPr>
          <w:rFonts w:ascii="Verdana" w:hAnsi="Verdana"/>
          <w:b/>
          <w:bCs/>
        </w:rPr>
        <w:t>a) Localização:</w:t>
      </w:r>
      <w:r w:rsidRPr="00E87B2B">
        <w:rPr>
          <w:rFonts w:ascii="Verdana" w:hAnsi="Verdana"/>
        </w:rPr>
        <w:t> APA de Montegordo, localizada a cerca de 10 km de distância da costa da praia da Altura.</w:t>
      </w:r>
    </w:p>
    <w:p w14:paraId="0AC06C57" w14:textId="77777777" w:rsidR="007508A1" w:rsidRPr="00E87B2B" w:rsidRDefault="007508A1" w:rsidP="007508A1">
      <w:pPr>
        <w:numPr>
          <w:ilvl w:val="1"/>
          <w:numId w:val="9"/>
        </w:numPr>
        <w:spacing w:after="120"/>
        <w:jc w:val="both"/>
        <w:rPr>
          <w:rFonts w:ascii="Verdana" w:hAnsi="Verdana"/>
        </w:rPr>
      </w:pPr>
      <w:r w:rsidRPr="00E87B2B">
        <w:rPr>
          <w:rFonts w:ascii="Verdana" w:hAnsi="Verdana"/>
          <w:b/>
          <w:bCs/>
        </w:rPr>
        <w:t>b) Profundidade e ecologia:</w:t>
      </w:r>
      <w:r w:rsidRPr="00E87B2B">
        <w:rPr>
          <w:rFonts w:ascii="Verdana" w:hAnsi="Verdana"/>
        </w:rPr>
        <w:t> Gaiolas instaladas a 35 metros de profundidade. Esta profundidade é essencial para que os resíduos biológicos (como fezes e restos de ração) sejam dispersos de forma eficiente pelas correntes numa área vasta, funcionando como um fertilizante natural disperso em vez de se acumularem e poluírem um único ponto do fundo marinho.</w:t>
      </w:r>
    </w:p>
    <w:p w14:paraId="1308F5F0" w14:textId="77777777" w:rsidR="007508A1" w:rsidRPr="00E87B2B" w:rsidRDefault="007508A1" w:rsidP="007508A1">
      <w:pPr>
        <w:numPr>
          <w:ilvl w:val="1"/>
          <w:numId w:val="9"/>
        </w:numPr>
        <w:spacing w:after="120"/>
        <w:jc w:val="both"/>
        <w:rPr>
          <w:rFonts w:ascii="Verdana" w:hAnsi="Verdana"/>
        </w:rPr>
      </w:pPr>
      <w:r w:rsidRPr="00E87B2B">
        <w:rPr>
          <w:rFonts w:ascii="Verdana" w:hAnsi="Verdana"/>
          <w:b/>
          <w:bCs/>
        </w:rPr>
        <w:t>c) Metas de produção:</w:t>
      </w:r>
      <w:r w:rsidRPr="00E87B2B">
        <w:rPr>
          <w:rFonts w:ascii="Verdana" w:hAnsi="Verdana"/>
        </w:rPr>
        <w:t> Objetivo de atingir as </w:t>
      </w:r>
      <w:r w:rsidRPr="00E87B2B">
        <w:rPr>
          <w:rFonts w:ascii="Verdana" w:hAnsi="Verdana"/>
          <w:b/>
          <w:bCs/>
        </w:rPr>
        <w:t>4500 toneladas</w:t>
      </w:r>
      <w:r w:rsidRPr="00E87B2B">
        <w:rPr>
          <w:rFonts w:ascii="Verdana" w:hAnsi="Verdana"/>
        </w:rPr>
        <w:t> de pescado comercializado por ano, encontrando-se atualmente num nível de cerca de </w:t>
      </w:r>
      <w:r w:rsidRPr="00E87B2B">
        <w:rPr>
          <w:rFonts w:ascii="Verdana" w:hAnsi="Verdana"/>
          <w:b/>
          <w:bCs/>
        </w:rPr>
        <w:t>1100 toneladas</w:t>
      </w:r>
      <w:r w:rsidRPr="00E87B2B">
        <w:rPr>
          <w:rFonts w:ascii="Verdana" w:hAnsi="Verdana"/>
        </w:rPr>
        <w:t> de produção anual.</w:t>
      </w:r>
    </w:p>
    <w:p w14:paraId="59CFB1BB" w14:textId="77777777" w:rsidR="007508A1" w:rsidRPr="00E87B2B" w:rsidRDefault="007508A1" w:rsidP="007508A1">
      <w:pPr>
        <w:numPr>
          <w:ilvl w:val="0"/>
          <w:numId w:val="9"/>
        </w:numPr>
        <w:spacing w:after="120"/>
        <w:jc w:val="both"/>
        <w:rPr>
          <w:rFonts w:ascii="Verdana" w:hAnsi="Verdana"/>
        </w:rPr>
      </w:pPr>
      <w:r w:rsidRPr="00E87B2B">
        <w:rPr>
          <w:rFonts w:ascii="Verdana" w:hAnsi="Verdana"/>
          <w:b/>
          <w:bCs/>
        </w:rPr>
        <w:t>2.12. Comparação Portugal vs Espanha:</w:t>
      </w:r>
      <w:r w:rsidRPr="00E87B2B">
        <w:rPr>
          <w:rFonts w:ascii="Verdana" w:hAnsi="Verdana"/>
        </w:rPr>
        <w:t xml:space="preserve"> Embora Espanha disponha de uma Zona Económica Exclusiva (ZEE) menor do que a portuguesa, a sua produção em aquicultura é 15 vezes superior </w:t>
      </w:r>
      <w:r w:rsidRPr="00E87B2B">
        <w:rPr>
          <w:rFonts w:ascii="Verdana" w:hAnsi="Verdana"/>
        </w:rPr>
        <w:lastRenderedPageBreak/>
        <w:t>à nacional, produzindo cerca de 300 mil toneladas anuais contra as aproximadas 20 mil toneladas produzidas em Portugal.</w:t>
      </w:r>
    </w:p>
    <w:p w14:paraId="0FE23FF5" w14:textId="77777777" w:rsidR="007508A1" w:rsidRPr="00E87B2B" w:rsidRDefault="007508A1" w:rsidP="007508A1">
      <w:pPr>
        <w:spacing w:after="120"/>
        <w:jc w:val="both"/>
        <w:rPr>
          <w:rFonts w:ascii="Verdana" w:hAnsi="Verdana"/>
          <w:b/>
          <w:bCs/>
        </w:rPr>
      </w:pPr>
      <w:r w:rsidRPr="00E87B2B">
        <w:rPr>
          <w:rFonts w:ascii="Verdana" w:hAnsi="Verdana"/>
          <w:b/>
          <w:bCs/>
        </w:rPr>
        <w:t>DIRETR</w:t>
      </w:r>
      <w:r>
        <w:rPr>
          <w:rFonts w:ascii="Verdana" w:hAnsi="Verdana"/>
          <w:b/>
          <w:bCs/>
        </w:rPr>
        <w:t>IZES</w:t>
      </w:r>
      <w:r w:rsidRPr="00E87B2B">
        <w:rPr>
          <w:rFonts w:ascii="Verdana" w:hAnsi="Verdana"/>
          <w:b/>
          <w:bCs/>
        </w:rPr>
        <w:t xml:space="preserve"> DE AVALIAÇÃO DA ATIVIDADE 3 (Texto de Reflexão)</w:t>
      </w:r>
    </w:p>
    <w:p w14:paraId="75BC587E" w14:textId="77777777" w:rsidR="007508A1" w:rsidRPr="00E87B2B" w:rsidRDefault="007508A1" w:rsidP="007508A1">
      <w:pPr>
        <w:spacing w:after="120"/>
        <w:jc w:val="both"/>
        <w:rPr>
          <w:rFonts w:ascii="Verdana" w:hAnsi="Verdana"/>
        </w:rPr>
      </w:pPr>
      <w:r w:rsidRPr="00E87B2B">
        <w:rPr>
          <w:rFonts w:ascii="Verdana" w:hAnsi="Verdana"/>
        </w:rPr>
        <w:t>O professor deverá avaliar a capacidade do aluno para:</w:t>
      </w:r>
    </w:p>
    <w:p w14:paraId="559BC658" w14:textId="77777777" w:rsidR="007508A1" w:rsidRPr="00E87B2B" w:rsidRDefault="007508A1" w:rsidP="007508A1">
      <w:pPr>
        <w:numPr>
          <w:ilvl w:val="0"/>
          <w:numId w:val="10"/>
        </w:numPr>
        <w:spacing w:after="120"/>
        <w:jc w:val="both"/>
        <w:rPr>
          <w:rFonts w:ascii="Verdana" w:hAnsi="Verdana"/>
        </w:rPr>
      </w:pPr>
      <w:r w:rsidRPr="00E87B2B">
        <w:rPr>
          <w:rFonts w:ascii="Verdana" w:hAnsi="Verdana"/>
          <w:b/>
          <w:bCs/>
        </w:rPr>
        <w:t>Articular conhecimentos teóricos e dados do documentário:</w:t>
      </w:r>
      <w:r w:rsidRPr="00E87B2B">
        <w:rPr>
          <w:rFonts w:ascii="Verdana" w:hAnsi="Verdana"/>
        </w:rPr>
        <w:t> Referir a necessidade de simplificar processos de licenciamento (desburocratização), investir em maternidades nacionais de robalo e dourada e reabilitar as infraestruturas dos portos comerciais.</w:t>
      </w:r>
    </w:p>
    <w:p w14:paraId="5414FF73" w14:textId="77777777" w:rsidR="007508A1" w:rsidRPr="00E87B2B" w:rsidRDefault="007508A1" w:rsidP="007508A1">
      <w:pPr>
        <w:numPr>
          <w:ilvl w:val="0"/>
          <w:numId w:val="10"/>
        </w:numPr>
        <w:spacing w:after="120"/>
        <w:jc w:val="both"/>
        <w:rPr>
          <w:rFonts w:ascii="Verdana" w:hAnsi="Verdana"/>
        </w:rPr>
      </w:pPr>
      <w:r w:rsidRPr="00E87B2B">
        <w:rPr>
          <w:rFonts w:ascii="Verdana" w:hAnsi="Verdana"/>
          <w:b/>
          <w:bCs/>
        </w:rPr>
        <w:t>Abordar o paradoxo do consumo:</w:t>
      </w:r>
      <w:r w:rsidRPr="00E87B2B">
        <w:rPr>
          <w:rFonts w:ascii="Verdana" w:hAnsi="Verdana"/>
        </w:rPr>
        <w:t> Mostrar como o aumento da aquicultura </w:t>
      </w:r>
      <w:r w:rsidRPr="00E87B2B">
        <w:rPr>
          <w:rFonts w:ascii="Verdana" w:hAnsi="Verdana"/>
          <w:i/>
          <w:iCs/>
        </w:rPr>
        <w:t>offshore</w:t>
      </w:r>
      <w:r w:rsidRPr="00E87B2B">
        <w:rPr>
          <w:rFonts w:ascii="Verdana" w:hAnsi="Verdana"/>
        </w:rPr>
        <w:t> no Algarve e na costa ocidental, em articulação com o dinamismo tecnológico da pesca de cerco, pode colmatar os mais de 60% de défice comercial do peixe que importamos.</w:t>
      </w:r>
    </w:p>
    <w:p w14:paraId="4498C4AE" w14:textId="77777777" w:rsidR="007508A1" w:rsidRPr="00E87B2B" w:rsidRDefault="007508A1" w:rsidP="007508A1">
      <w:pPr>
        <w:numPr>
          <w:ilvl w:val="0"/>
          <w:numId w:val="10"/>
        </w:numPr>
        <w:spacing w:after="120"/>
        <w:jc w:val="both"/>
        <w:rPr>
          <w:rFonts w:ascii="Verdana" w:hAnsi="Verdana"/>
        </w:rPr>
      </w:pPr>
      <w:r w:rsidRPr="00E87B2B">
        <w:rPr>
          <w:rFonts w:ascii="Verdana" w:hAnsi="Verdana"/>
          <w:b/>
          <w:bCs/>
        </w:rPr>
        <w:t>Tecnologia e atração juvenil:</w:t>
      </w:r>
      <w:r w:rsidRPr="00E87B2B">
        <w:rPr>
          <w:rFonts w:ascii="Verdana" w:hAnsi="Verdana"/>
        </w:rPr>
        <w:t> Discutir que a modernização tecnológica dos barcos (pontilhados de sensores e tecnologia de ponta) e a introdução da robótica e inteligência artificial no setor marinho representam um fator de atração essencial para captar jovens profissionais para carreiras ligadas à economia azul e à sustentabilidade.</w:t>
      </w:r>
    </w:p>
    <w:p w14:paraId="33BE2240" w14:textId="77777777" w:rsidR="007508A1" w:rsidRDefault="007508A1" w:rsidP="007508A1">
      <w:pPr>
        <w:spacing w:after="120"/>
        <w:jc w:val="both"/>
        <w:rPr>
          <w:rFonts w:ascii="Verdana" w:hAnsi="Verdana"/>
        </w:rPr>
      </w:pPr>
    </w:p>
    <w:p w14:paraId="2034BF54" w14:textId="77777777" w:rsidR="007508A1" w:rsidRDefault="007508A1" w:rsidP="007508A1">
      <w:pPr>
        <w:spacing w:after="120"/>
        <w:jc w:val="both"/>
        <w:rPr>
          <w:rFonts w:ascii="Verdana" w:hAnsi="Verdana"/>
        </w:rPr>
      </w:pPr>
    </w:p>
    <w:p w14:paraId="229CB755" w14:textId="77777777" w:rsidR="007508A1" w:rsidRDefault="007508A1" w:rsidP="007508A1">
      <w:pPr>
        <w:spacing w:after="120"/>
        <w:jc w:val="both"/>
        <w:rPr>
          <w:rFonts w:ascii="Verdana" w:hAnsi="Verdana"/>
        </w:rPr>
      </w:pPr>
    </w:p>
    <w:p w14:paraId="71320C18" w14:textId="77777777" w:rsidR="007508A1" w:rsidRPr="00E87B2B" w:rsidRDefault="007508A1" w:rsidP="007508A1">
      <w:pPr>
        <w:spacing w:after="120"/>
        <w:jc w:val="both"/>
        <w:rPr>
          <w:rFonts w:ascii="Verdana" w:hAnsi="Verdana"/>
        </w:rPr>
      </w:pPr>
    </w:p>
    <w:p w14:paraId="1EB9721B" w14:textId="77777777" w:rsidR="00E87B2B" w:rsidRDefault="00E87B2B" w:rsidP="00E87B2B">
      <w:pPr>
        <w:spacing w:after="120"/>
        <w:jc w:val="both"/>
        <w:rPr>
          <w:rFonts w:ascii="Verdana" w:hAnsi="Verdana"/>
        </w:rPr>
      </w:pPr>
    </w:p>
    <w:p w14:paraId="4E5DF409" w14:textId="77777777" w:rsidR="00E87B2B" w:rsidRDefault="00E87B2B" w:rsidP="00E87B2B">
      <w:pPr>
        <w:spacing w:after="120"/>
        <w:jc w:val="both"/>
        <w:rPr>
          <w:rFonts w:ascii="Verdana" w:hAnsi="Verdana"/>
        </w:rPr>
      </w:pPr>
    </w:p>
    <w:p w14:paraId="7A864C6B" w14:textId="77777777" w:rsidR="00E87B2B" w:rsidRDefault="00E87B2B" w:rsidP="00E87B2B">
      <w:pPr>
        <w:spacing w:after="120"/>
        <w:jc w:val="both"/>
        <w:rPr>
          <w:rFonts w:ascii="Verdana" w:hAnsi="Verdana"/>
        </w:rPr>
      </w:pPr>
    </w:p>
    <w:p w14:paraId="530969DB" w14:textId="77777777" w:rsidR="00E87B2B" w:rsidRDefault="00E87B2B" w:rsidP="00E87B2B">
      <w:pPr>
        <w:spacing w:after="120"/>
        <w:jc w:val="both"/>
        <w:rPr>
          <w:rFonts w:ascii="Verdana" w:hAnsi="Verdana"/>
        </w:rPr>
      </w:pPr>
    </w:p>
    <w:p w14:paraId="3F8D38C0" w14:textId="77777777" w:rsidR="00E87B2B" w:rsidRDefault="00E87B2B" w:rsidP="00E87B2B">
      <w:pPr>
        <w:spacing w:after="120"/>
        <w:jc w:val="both"/>
        <w:rPr>
          <w:rFonts w:ascii="Verdana" w:hAnsi="Verdana"/>
        </w:rPr>
      </w:pPr>
    </w:p>
    <w:sectPr w:rsidR="00E87B2B" w:rsidSect="00703C51">
      <w:footerReference w:type="default" r:id="rId9"/>
      <w:pgSz w:w="11906" w:h="16838"/>
      <w:pgMar w:top="1417" w:right="566"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4AFDB" w14:textId="77777777" w:rsidR="00F52ED0" w:rsidRDefault="00F52ED0" w:rsidP="00703C51">
      <w:r>
        <w:separator/>
      </w:r>
    </w:p>
  </w:endnote>
  <w:endnote w:type="continuationSeparator" w:id="0">
    <w:p w14:paraId="56C7A71F" w14:textId="77777777" w:rsidR="00F52ED0" w:rsidRDefault="00F52ED0" w:rsidP="00703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16DB9" w14:textId="08B1CACC" w:rsidR="00703C51" w:rsidRDefault="004710DA" w:rsidP="00703C51">
    <w:pPr>
      <w:pStyle w:val="Rodap"/>
      <w:tabs>
        <w:tab w:val="clear" w:pos="4252"/>
        <w:tab w:val="center" w:pos="4678"/>
      </w:tabs>
      <w:rPr>
        <w:rFonts w:ascii="Arial" w:hAnsi="Arial" w:cs="Arial"/>
      </w:rPr>
    </w:pPr>
    <w:r>
      <w:rPr>
        <w:rFonts w:ascii="Arial" w:hAnsi="Arial" w:cs="Arial"/>
        <w:smallCaps/>
        <w:color w:val="FFFFFF"/>
        <w:sz w:val="18"/>
        <w:shd w:val="clear" w:color="auto" w:fill="404040"/>
      </w:rPr>
      <w:t xml:space="preserve"> Guião de Exploração</w:t>
    </w:r>
    <w:r w:rsidR="00703C51">
      <w:rPr>
        <w:rFonts w:ascii="Arial" w:hAnsi="Arial" w:cs="Arial"/>
        <w:smallCaps/>
        <w:color w:val="FFFFFF"/>
        <w:sz w:val="18"/>
        <w:shd w:val="clear" w:color="auto" w:fill="404040"/>
      </w:rPr>
      <w:t xml:space="preserve"> - </w:t>
    </w:r>
    <w:r>
      <w:rPr>
        <w:rFonts w:ascii="Arial" w:hAnsi="Arial" w:cs="Arial"/>
        <w:smallCaps/>
        <w:color w:val="FFFFFF"/>
        <w:sz w:val="18"/>
        <w:shd w:val="clear" w:color="auto" w:fill="404040"/>
      </w:rPr>
      <w:t>10</w:t>
    </w:r>
    <w:r w:rsidR="00703C51">
      <w:rPr>
        <w:rFonts w:ascii="Arial" w:hAnsi="Arial" w:cs="Arial"/>
        <w:smallCaps/>
        <w:color w:val="FFFFFF"/>
        <w:sz w:val="18"/>
        <w:shd w:val="clear" w:color="auto" w:fill="404040"/>
      </w:rPr>
      <w:t>º Ano</w:t>
    </w:r>
    <w:r>
      <w:rPr>
        <w:rFonts w:ascii="Arial" w:hAnsi="Arial" w:cs="Arial"/>
        <w:smallCaps/>
        <w:color w:val="FFFFFF"/>
        <w:sz w:val="18"/>
        <w:shd w:val="clear" w:color="auto" w:fill="404040"/>
      </w:rPr>
      <w:t xml:space="preserve"> </w:t>
    </w:r>
    <w:r w:rsidR="00703C51">
      <w:tab/>
    </w:r>
    <w:r w:rsidR="00703C51">
      <w:tab/>
    </w:r>
    <w:r w:rsidR="00703C51">
      <w:rPr>
        <w:rFonts w:ascii="Arial" w:hAnsi="Arial" w:cs="Arial"/>
      </w:rPr>
      <w:tab/>
    </w:r>
    <w:r w:rsidR="00703C51">
      <w:rPr>
        <w:rFonts w:ascii="Arial" w:hAnsi="Arial" w:cs="Arial"/>
      </w:rPr>
      <w:fldChar w:fldCharType="begin"/>
    </w:r>
    <w:r w:rsidR="00703C51">
      <w:rPr>
        <w:rFonts w:ascii="Arial" w:hAnsi="Arial" w:cs="Arial"/>
      </w:rPr>
      <w:instrText>PAGE   \* MERGEFORMAT</w:instrText>
    </w:r>
    <w:r w:rsidR="00703C51">
      <w:rPr>
        <w:rFonts w:ascii="Arial" w:hAnsi="Arial" w:cs="Arial"/>
      </w:rPr>
      <w:fldChar w:fldCharType="separate"/>
    </w:r>
    <w:r w:rsidR="00703C51">
      <w:rPr>
        <w:rFonts w:ascii="Arial" w:hAnsi="Arial" w:cs="Arial"/>
      </w:rPr>
      <w:t>1</w:t>
    </w:r>
    <w:r w:rsidR="00703C51">
      <w:rPr>
        <w:rFonts w:ascii="Arial" w:hAnsi="Arial" w:cs="Arial"/>
      </w:rPr>
      <w:fldChar w:fldCharType="end"/>
    </w:r>
    <w:r w:rsidR="00703C51">
      <w:rPr>
        <w:rFonts w:ascii="Arial" w:hAnsi="Arial" w:cs="Arial"/>
      </w:rPr>
      <w:t xml:space="preserve"> de </w:t>
    </w:r>
    <w:r w:rsidR="00E87B2B">
      <w:rPr>
        <w:rFonts w:ascii="Arial" w:hAnsi="Arial" w:cs="Arial"/>
      </w:rPr>
      <w:t>2</w:t>
    </w:r>
  </w:p>
  <w:p w14:paraId="3CBB30BD" w14:textId="77777777" w:rsidR="00703C51" w:rsidRDefault="00703C5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934AD" w14:textId="77777777" w:rsidR="00F52ED0" w:rsidRDefault="00F52ED0" w:rsidP="00703C51">
      <w:r>
        <w:separator/>
      </w:r>
    </w:p>
  </w:footnote>
  <w:footnote w:type="continuationSeparator" w:id="0">
    <w:p w14:paraId="6E7788D1" w14:textId="77777777" w:rsidR="00F52ED0" w:rsidRDefault="00F52ED0" w:rsidP="00703C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01CF5"/>
    <w:multiLevelType w:val="multilevel"/>
    <w:tmpl w:val="24484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337CDA"/>
    <w:multiLevelType w:val="multilevel"/>
    <w:tmpl w:val="37FAD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8B0B87"/>
    <w:multiLevelType w:val="multilevel"/>
    <w:tmpl w:val="CA7E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2B214F"/>
    <w:multiLevelType w:val="hybridMultilevel"/>
    <w:tmpl w:val="167AB0A2"/>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1D6A28D6"/>
    <w:multiLevelType w:val="multilevel"/>
    <w:tmpl w:val="A77CB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0573EA"/>
    <w:multiLevelType w:val="multilevel"/>
    <w:tmpl w:val="4C5E3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437D13"/>
    <w:multiLevelType w:val="multilevel"/>
    <w:tmpl w:val="0AEC7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763041"/>
    <w:multiLevelType w:val="multilevel"/>
    <w:tmpl w:val="B06E0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6005A8"/>
    <w:multiLevelType w:val="multilevel"/>
    <w:tmpl w:val="5FE682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8570F8"/>
    <w:multiLevelType w:val="multilevel"/>
    <w:tmpl w:val="4C942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2540821">
    <w:abstractNumId w:val="6"/>
  </w:num>
  <w:num w:numId="2" w16cid:durableId="1900440918">
    <w:abstractNumId w:val="2"/>
  </w:num>
  <w:num w:numId="3" w16cid:durableId="1769233000">
    <w:abstractNumId w:val="9"/>
  </w:num>
  <w:num w:numId="4" w16cid:durableId="598176453">
    <w:abstractNumId w:val="0"/>
  </w:num>
  <w:num w:numId="5" w16cid:durableId="1747996404">
    <w:abstractNumId w:val="7"/>
  </w:num>
  <w:num w:numId="6" w16cid:durableId="704910599">
    <w:abstractNumId w:val="4"/>
  </w:num>
  <w:num w:numId="7" w16cid:durableId="283199946">
    <w:abstractNumId w:val="3"/>
  </w:num>
  <w:num w:numId="8" w16cid:durableId="22177503">
    <w:abstractNumId w:val="1"/>
  </w:num>
  <w:num w:numId="9" w16cid:durableId="1603299255">
    <w:abstractNumId w:val="8"/>
  </w:num>
  <w:num w:numId="10" w16cid:durableId="7974497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C51"/>
    <w:rsid w:val="00030E23"/>
    <w:rsid w:val="00153633"/>
    <w:rsid w:val="004710DA"/>
    <w:rsid w:val="00703C51"/>
    <w:rsid w:val="007508A1"/>
    <w:rsid w:val="00BE0F4E"/>
    <w:rsid w:val="00E87B2B"/>
    <w:rsid w:val="00F52ED0"/>
  </w:rsids>
  <m:mathPr>
    <m:mathFont m:val="Cambria Math"/>
    <m:brkBin m:val="before"/>
    <m:brkBinSub m:val="--"/>
    <m:smallFrac m:val="0"/>
    <m:dispDef/>
    <m:lMargin m:val="0"/>
    <m:rMargin m:val="0"/>
    <m:defJc m:val="centerGroup"/>
    <m:wrapIndent m:val="1440"/>
    <m:intLim m:val="subSup"/>
    <m:naryLim m:val="undOvr"/>
  </m:mathPr>
  <w:themeFontLang w:val="pt-PT"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FFF3D"/>
  <w15:chartTrackingRefBased/>
  <w15:docId w15:val="{F888481A-D61F-41AC-897F-2E43C4010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PT"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C51"/>
    <w:pPr>
      <w:spacing w:after="0" w:line="240" w:lineRule="auto"/>
    </w:pPr>
    <w:rPr>
      <w:rFonts w:ascii="Times New Roman" w:eastAsia="Times New Roman" w:hAnsi="Times New Roman" w:cs="Times New Roman"/>
      <w:kern w:val="0"/>
      <w:sz w:val="20"/>
      <w:szCs w:val="20"/>
      <w:lang w:eastAsia="pt-PT" w:bidi="ar-SA"/>
      <w14:ligatures w14:val="none"/>
    </w:rPr>
  </w:style>
  <w:style w:type="paragraph" w:styleId="Ttulo1">
    <w:name w:val="heading 1"/>
    <w:basedOn w:val="Normal"/>
    <w:next w:val="Normal"/>
    <w:link w:val="Ttulo1Carter"/>
    <w:uiPriority w:val="9"/>
    <w:qFormat/>
    <w:rsid w:val="00703C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703C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703C5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703C5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703C5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703C51"/>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703C51"/>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703C51"/>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703C51"/>
    <w:pPr>
      <w:keepNext/>
      <w:keepLines/>
      <w:outlineLvl w:val="8"/>
    </w:pPr>
    <w:rPr>
      <w:rFonts w:eastAsiaTheme="majorEastAsia" w:cstheme="majorBidi"/>
      <w:color w:val="272727" w:themeColor="text1" w:themeTint="D8"/>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703C51"/>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703C51"/>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703C51"/>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703C51"/>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703C51"/>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703C51"/>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703C51"/>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703C51"/>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703C51"/>
    <w:rPr>
      <w:rFonts w:eastAsiaTheme="majorEastAsia" w:cstheme="majorBidi"/>
      <w:color w:val="272727" w:themeColor="text1" w:themeTint="D8"/>
    </w:rPr>
  </w:style>
  <w:style w:type="paragraph" w:styleId="Ttulo">
    <w:name w:val="Title"/>
    <w:basedOn w:val="Normal"/>
    <w:next w:val="Normal"/>
    <w:link w:val="TtuloCarter"/>
    <w:uiPriority w:val="10"/>
    <w:qFormat/>
    <w:rsid w:val="00703C51"/>
    <w:pPr>
      <w:spacing w:after="80"/>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703C5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703C51"/>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703C51"/>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703C51"/>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703C51"/>
    <w:rPr>
      <w:i/>
      <w:iCs/>
      <w:color w:val="404040" w:themeColor="text1" w:themeTint="BF"/>
    </w:rPr>
  </w:style>
  <w:style w:type="paragraph" w:styleId="PargrafodaLista">
    <w:name w:val="List Paragraph"/>
    <w:basedOn w:val="Normal"/>
    <w:uiPriority w:val="34"/>
    <w:qFormat/>
    <w:rsid w:val="00703C51"/>
    <w:pPr>
      <w:ind w:left="720"/>
      <w:contextualSpacing/>
    </w:pPr>
  </w:style>
  <w:style w:type="character" w:styleId="nfaseIntensa">
    <w:name w:val="Intense Emphasis"/>
    <w:basedOn w:val="Tipodeletrapredefinidodopargrafo"/>
    <w:uiPriority w:val="21"/>
    <w:qFormat/>
    <w:rsid w:val="00703C51"/>
    <w:rPr>
      <w:i/>
      <w:iCs/>
      <w:color w:val="0F4761" w:themeColor="accent1" w:themeShade="BF"/>
    </w:rPr>
  </w:style>
  <w:style w:type="paragraph" w:styleId="CitaoIntensa">
    <w:name w:val="Intense Quote"/>
    <w:basedOn w:val="Normal"/>
    <w:next w:val="Normal"/>
    <w:link w:val="CitaoIntensaCarter"/>
    <w:uiPriority w:val="30"/>
    <w:qFormat/>
    <w:rsid w:val="00703C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703C51"/>
    <w:rPr>
      <w:i/>
      <w:iCs/>
      <w:color w:val="0F4761" w:themeColor="accent1" w:themeShade="BF"/>
    </w:rPr>
  </w:style>
  <w:style w:type="character" w:styleId="RefernciaIntensa">
    <w:name w:val="Intense Reference"/>
    <w:basedOn w:val="Tipodeletrapredefinidodopargrafo"/>
    <w:uiPriority w:val="32"/>
    <w:qFormat/>
    <w:rsid w:val="00703C51"/>
    <w:rPr>
      <w:b/>
      <w:bCs/>
      <w:smallCaps/>
      <w:color w:val="0F4761" w:themeColor="accent1" w:themeShade="BF"/>
      <w:spacing w:val="5"/>
    </w:rPr>
  </w:style>
  <w:style w:type="paragraph" w:styleId="Cabealho">
    <w:name w:val="header"/>
    <w:basedOn w:val="Normal"/>
    <w:link w:val="CabealhoCarter"/>
    <w:uiPriority w:val="99"/>
    <w:unhideWhenUsed/>
    <w:rsid w:val="00703C51"/>
    <w:pPr>
      <w:tabs>
        <w:tab w:val="center" w:pos="4252"/>
        <w:tab w:val="right" w:pos="8504"/>
      </w:tabs>
    </w:pPr>
  </w:style>
  <w:style w:type="character" w:customStyle="1" w:styleId="CabealhoCarter">
    <w:name w:val="Cabeçalho Caráter"/>
    <w:basedOn w:val="Tipodeletrapredefinidodopargrafo"/>
    <w:link w:val="Cabealho"/>
    <w:uiPriority w:val="99"/>
    <w:rsid w:val="00703C51"/>
    <w:rPr>
      <w:rFonts w:ascii="Times New Roman" w:eastAsia="Times New Roman" w:hAnsi="Times New Roman" w:cs="Times New Roman"/>
      <w:kern w:val="0"/>
      <w:sz w:val="20"/>
      <w:szCs w:val="20"/>
      <w:lang w:eastAsia="pt-PT" w:bidi="ar-SA"/>
      <w14:ligatures w14:val="none"/>
    </w:rPr>
  </w:style>
  <w:style w:type="paragraph" w:styleId="Rodap">
    <w:name w:val="footer"/>
    <w:basedOn w:val="Normal"/>
    <w:link w:val="RodapCarter"/>
    <w:uiPriority w:val="99"/>
    <w:unhideWhenUsed/>
    <w:qFormat/>
    <w:rsid w:val="00703C51"/>
    <w:pPr>
      <w:tabs>
        <w:tab w:val="center" w:pos="4252"/>
        <w:tab w:val="right" w:pos="8504"/>
      </w:tabs>
    </w:pPr>
  </w:style>
  <w:style w:type="character" w:customStyle="1" w:styleId="RodapCarter">
    <w:name w:val="Rodapé Caráter"/>
    <w:basedOn w:val="Tipodeletrapredefinidodopargrafo"/>
    <w:link w:val="Rodap"/>
    <w:uiPriority w:val="99"/>
    <w:rsid w:val="00703C51"/>
    <w:rPr>
      <w:rFonts w:ascii="Times New Roman" w:eastAsia="Times New Roman" w:hAnsi="Times New Roman" w:cs="Times New Roman"/>
      <w:kern w:val="0"/>
      <w:sz w:val="20"/>
      <w:szCs w:val="20"/>
      <w:lang w:eastAsia="pt-PT" w:bidi="ar-SA"/>
      <w14:ligatures w14:val="none"/>
    </w:rPr>
  </w:style>
  <w:style w:type="character" w:customStyle="1" w:styleId="RodapCarter1">
    <w:name w:val="Rodapé Caráter1"/>
    <w:uiPriority w:val="99"/>
    <w:qFormat/>
    <w:rsid w:val="00703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96717">
      <w:bodyDiv w:val="1"/>
      <w:marLeft w:val="0"/>
      <w:marRight w:val="0"/>
      <w:marTop w:val="0"/>
      <w:marBottom w:val="0"/>
      <w:divBdr>
        <w:top w:val="none" w:sz="0" w:space="0" w:color="auto"/>
        <w:left w:val="none" w:sz="0" w:space="0" w:color="auto"/>
        <w:bottom w:val="none" w:sz="0" w:space="0" w:color="auto"/>
        <w:right w:val="none" w:sz="0" w:space="0" w:color="auto"/>
      </w:divBdr>
    </w:div>
    <w:div w:id="267473473">
      <w:bodyDiv w:val="1"/>
      <w:marLeft w:val="0"/>
      <w:marRight w:val="0"/>
      <w:marTop w:val="0"/>
      <w:marBottom w:val="0"/>
      <w:divBdr>
        <w:top w:val="none" w:sz="0" w:space="0" w:color="auto"/>
        <w:left w:val="none" w:sz="0" w:space="0" w:color="auto"/>
        <w:bottom w:val="none" w:sz="0" w:space="0" w:color="auto"/>
        <w:right w:val="none" w:sz="0" w:space="0" w:color="auto"/>
      </w:divBdr>
    </w:div>
    <w:div w:id="504828289">
      <w:bodyDiv w:val="1"/>
      <w:marLeft w:val="0"/>
      <w:marRight w:val="0"/>
      <w:marTop w:val="0"/>
      <w:marBottom w:val="0"/>
      <w:divBdr>
        <w:top w:val="none" w:sz="0" w:space="0" w:color="auto"/>
        <w:left w:val="none" w:sz="0" w:space="0" w:color="auto"/>
        <w:bottom w:val="none" w:sz="0" w:space="0" w:color="auto"/>
        <w:right w:val="none" w:sz="0" w:space="0" w:color="auto"/>
      </w:divBdr>
    </w:div>
    <w:div w:id="1204564546">
      <w:bodyDiv w:val="1"/>
      <w:marLeft w:val="0"/>
      <w:marRight w:val="0"/>
      <w:marTop w:val="0"/>
      <w:marBottom w:val="0"/>
      <w:divBdr>
        <w:top w:val="none" w:sz="0" w:space="0" w:color="auto"/>
        <w:left w:val="none" w:sz="0" w:space="0" w:color="auto"/>
        <w:bottom w:val="none" w:sz="0" w:space="0" w:color="auto"/>
        <w:right w:val="none" w:sz="0" w:space="0" w:color="auto"/>
      </w:divBdr>
    </w:div>
    <w:div w:id="1700426889">
      <w:bodyDiv w:val="1"/>
      <w:marLeft w:val="0"/>
      <w:marRight w:val="0"/>
      <w:marTop w:val="0"/>
      <w:marBottom w:val="0"/>
      <w:divBdr>
        <w:top w:val="none" w:sz="0" w:space="0" w:color="auto"/>
        <w:left w:val="none" w:sz="0" w:space="0" w:color="auto"/>
        <w:bottom w:val="none" w:sz="0" w:space="0" w:color="auto"/>
        <w:right w:val="none" w:sz="0" w:space="0" w:color="auto"/>
      </w:divBdr>
    </w:div>
    <w:div w:id="211539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1208</Words>
  <Characters>6524</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Carvalho</dc:creator>
  <cp:keywords/>
  <dc:description/>
  <cp:lastModifiedBy>Bruno Carvalho</cp:lastModifiedBy>
  <cp:revision>2</cp:revision>
  <dcterms:created xsi:type="dcterms:W3CDTF">2026-08-26T18:31:00Z</dcterms:created>
  <dcterms:modified xsi:type="dcterms:W3CDTF">2026-08-26T18:58:00Z</dcterms:modified>
</cp:coreProperties>
</file>